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E" w:rsidRDefault="00200572">
      <w:pPr>
        <w:rPr>
          <w:rtl/>
          <w:lang w:bidi="ar-AE"/>
        </w:rPr>
      </w:pPr>
      <w:r>
        <w:rPr>
          <w:rFonts w:hint="cs"/>
          <w:rtl/>
        </w:rPr>
        <w:t>قواعد النشر في المؤتمر:</w:t>
      </w:r>
      <w:bookmarkStart w:id="0" w:name="_GoBack"/>
      <w:bookmarkEnd w:id="0"/>
    </w:p>
    <w:p w:rsidR="00200572" w:rsidRDefault="000B6C4E" w:rsidP="000B6C4E">
      <w:pPr>
        <w:jc w:val="center"/>
        <w:rPr>
          <w:rFonts w:ascii="Traditional Arabic" w:hAnsi="Traditional Arabic"/>
          <w:b/>
          <w:bCs/>
          <w:sz w:val="36"/>
          <w:szCs w:val="48"/>
          <w:rtl/>
          <w:lang w:val="en-US"/>
        </w:rPr>
      </w:pPr>
      <w:r w:rsidRPr="000B6C4E">
        <w:rPr>
          <w:rFonts w:ascii="Traditional Arabic" w:hAnsi="Traditional Arabic" w:hint="cs"/>
          <w:b/>
          <w:bCs/>
          <w:sz w:val="36"/>
          <w:szCs w:val="48"/>
          <w:rtl/>
          <w:lang w:val="en-US"/>
        </w:rPr>
        <w:t>عنوان البحث</w:t>
      </w:r>
    </w:p>
    <w:p w:rsidR="000B6C4E" w:rsidRDefault="000B6C4E" w:rsidP="000B6C4E">
      <w:pPr>
        <w:jc w:val="right"/>
        <w:rPr>
          <w:rFonts w:ascii="Traditional Arabic" w:hAnsi="Traditional Arabic"/>
          <w:rtl/>
          <w:lang w:val="en-US"/>
        </w:rPr>
      </w:pPr>
      <w:r>
        <w:rPr>
          <w:rFonts w:ascii="Traditional Arabic" w:hAnsi="Traditional Arabic" w:hint="cs"/>
          <w:rtl/>
          <w:lang w:val="en-US"/>
        </w:rPr>
        <w:t>اسم الباحث</w:t>
      </w:r>
      <w:r w:rsidRPr="000B6C4E">
        <w:rPr>
          <w:rStyle w:val="FootnoteReference"/>
          <w:rFonts w:ascii="Traditional Arabic" w:hAnsi="Traditional Arabic"/>
          <w:rtl/>
          <w:lang w:val="en-US"/>
        </w:rPr>
        <w:footnoteReference w:customMarkFollows="1" w:id="2"/>
        <w:sym w:font="Symbol" w:char="F02A"/>
      </w:r>
    </w:p>
    <w:p w:rsidR="000B6C4E" w:rsidRP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  <w:r w:rsidRPr="000B6C4E">
        <w:rPr>
          <w:rFonts w:ascii="Traditional Arabic" w:hAnsi="Traditional Arabic" w:hint="cs"/>
          <w:b/>
          <w:bCs/>
          <w:rtl/>
          <w:lang w:val="en-US"/>
        </w:rPr>
        <w:t>ملخص البحث:</w:t>
      </w:r>
    </w:p>
    <w:p w:rsidR="000B6C4E" w:rsidRDefault="000B6C4E" w:rsidP="000B6C4E">
      <w:pPr>
        <w:spacing w:after="0"/>
        <w:jc w:val="left"/>
        <w:rPr>
          <w:rFonts w:ascii="Traditional Arabic" w:hAnsi="Traditional Arabic"/>
          <w:rtl/>
          <w:lang w:val="en-US"/>
        </w:rPr>
      </w:pPr>
      <w:r>
        <w:rPr>
          <w:rFonts w:ascii="Traditional Arabic" w:hAnsi="Traditional Arabic" w:hint="cs"/>
          <w:rtl/>
          <w:lang w:val="en-US"/>
        </w:rPr>
        <w:t>يجب أن يتضمن مقدمة قصيرة عن البحث، ثم أهداف البحث، والمنهج وأهم النتائج.</w:t>
      </w: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</w:p>
    <w:p w:rsidR="000B6C4E" w:rsidRDefault="000B6C4E" w:rsidP="000B6C4E">
      <w:pPr>
        <w:spacing w:after="0"/>
        <w:jc w:val="left"/>
        <w:rPr>
          <w:rFonts w:ascii="Traditional Arabic" w:hAnsi="Traditional Arabic"/>
          <w:rtl/>
          <w:lang w:val="en-US"/>
        </w:rPr>
      </w:pPr>
      <w:r w:rsidRPr="000B6C4E">
        <w:rPr>
          <w:rFonts w:ascii="Traditional Arabic" w:hAnsi="Traditional Arabic" w:hint="cs"/>
          <w:b/>
          <w:bCs/>
          <w:rtl/>
          <w:lang w:val="en-US"/>
        </w:rPr>
        <w:t>كلمات مفتاحية:</w:t>
      </w:r>
      <w:r w:rsidRPr="000B6C4E">
        <w:rPr>
          <w:rFonts w:ascii="Traditional Arabic" w:hAnsi="Traditional Arabic" w:hint="cs"/>
          <w:rtl/>
          <w:lang w:val="en-US"/>
        </w:rPr>
        <w:t>عنوان، البحث.</w:t>
      </w:r>
    </w:p>
    <w:p w:rsidR="000B6C4E" w:rsidRDefault="000B6C4E" w:rsidP="000B6C4E">
      <w:pPr>
        <w:spacing w:after="0"/>
        <w:jc w:val="left"/>
        <w:rPr>
          <w:rFonts w:ascii="Traditional Arabic" w:hAnsi="Traditional Arabic"/>
          <w:rtl/>
          <w:lang w:val="en-US"/>
        </w:rPr>
      </w:pP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  <w:r w:rsidRPr="000B6C4E">
        <w:rPr>
          <w:rFonts w:ascii="Traditional Arabic" w:hAnsi="Traditional Arabic" w:hint="cs"/>
          <w:b/>
          <w:bCs/>
          <w:rtl/>
          <w:lang w:val="en-US"/>
        </w:rPr>
        <w:t>مقدمة</w:t>
      </w: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  <w:r>
        <w:rPr>
          <w:rFonts w:ascii="Traditional Arabic" w:hAnsi="Traditional Arabic" w:hint="cs"/>
          <w:b/>
          <w:bCs/>
          <w:rtl/>
          <w:lang w:val="en-US"/>
        </w:rPr>
        <w:t>عرض</w:t>
      </w: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  <w:r>
        <w:rPr>
          <w:rFonts w:ascii="Traditional Arabic" w:hAnsi="Traditional Arabic" w:hint="cs"/>
          <w:b/>
          <w:bCs/>
          <w:rtl/>
          <w:lang w:val="en-US"/>
        </w:rPr>
        <w:t>خاتمة</w:t>
      </w: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</w:p>
    <w:p w:rsidR="000B6C4E" w:rsidRDefault="000B6C4E" w:rsidP="000B6C4E">
      <w:pPr>
        <w:spacing w:after="0"/>
        <w:jc w:val="left"/>
        <w:rPr>
          <w:rFonts w:ascii="Traditional Arabic" w:hAnsi="Traditional Arabic"/>
          <w:b/>
          <w:bCs/>
          <w:rtl/>
          <w:lang w:val="en-US"/>
        </w:rPr>
      </w:pPr>
      <w:r>
        <w:rPr>
          <w:rFonts w:ascii="Traditional Arabic" w:hAnsi="Traditional Arabic" w:hint="cs"/>
          <w:b/>
          <w:bCs/>
          <w:rtl/>
          <w:lang w:val="en-US"/>
        </w:rPr>
        <w:t>هوامش البحث</w:t>
      </w:r>
    </w:p>
    <w:p w:rsidR="000B6C4E" w:rsidRDefault="000B6C4E" w:rsidP="000B6C4E">
      <w:pPr>
        <w:pStyle w:val="ListParagraph"/>
        <w:numPr>
          <w:ilvl w:val="0"/>
          <w:numId w:val="2"/>
        </w:numPr>
        <w:spacing w:after="0" w:line="240" w:lineRule="auto"/>
        <w:rPr>
          <w:rFonts w:ascii="Traditional Arabic" w:eastAsia="Calibri" w:hAnsi="Traditional Arabic"/>
          <w:sz w:val="28"/>
          <w:szCs w:val="28"/>
          <w:lang w:val="en-US"/>
        </w:rPr>
      </w:pPr>
      <w:r w:rsidRPr="000B6C4E">
        <w:rPr>
          <w:rFonts w:ascii="Traditional Arabic" w:eastAsia="Calibri" w:hAnsi="Traditional Arabic"/>
          <w:sz w:val="28"/>
          <w:szCs w:val="28"/>
          <w:rtl/>
          <w:lang w:val="en-US"/>
        </w:rPr>
        <w:t xml:space="preserve">نظر:الأغبري، إسماعيل </w:t>
      </w:r>
      <w:r w:rsidRPr="000B6C4E">
        <w:rPr>
          <w:rFonts w:ascii="Traditional Arabic" w:eastAsia="Calibri" w:hAnsi="Traditional Arabic" w:hint="cs"/>
          <w:sz w:val="28"/>
          <w:szCs w:val="28"/>
          <w:rtl/>
          <w:lang w:val="en-US"/>
        </w:rPr>
        <w:t>بن صالح</w:t>
      </w:r>
      <w:r>
        <w:rPr>
          <w:rFonts w:ascii="Traditional Arabic" w:eastAsia="Calibri" w:hAnsi="Traditional Arabic" w:hint="cs"/>
          <w:sz w:val="28"/>
          <w:szCs w:val="28"/>
          <w:rtl/>
          <w:lang w:val="en-US"/>
        </w:rPr>
        <w:t>.</w:t>
      </w:r>
      <w:r w:rsidRPr="000B6C4E">
        <w:rPr>
          <w:rFonts w:ascii="Traditional Arabic" w:eastAsia="Calibri" w:hAnsi="Traditional Arabic"/>
          <w:b/>
          <w:bCs/>
          <w:sz w:val="28"/>
          <w:szCs w:val="28"/>
          <w:rtl/>
          <w:lang w:val="en-US"/>
        </w:rPr>
        <w:t>عهد الإمام الصلت بن مالك وعمقه الحضاري وأبعاده الحقوقية</w:t>
      </w:r>
      <w:r>
        <w:rPr>
          <w:rFonts w:ascii="Traditional Arabic" w:eastAsia="Calibri" w:hAnsi="Traditional Arabic" w:hint="cs"/>
          <w:b/>
          <w:bCs/>
          <w:sz w:val="28"/>
          <w:szCs w:val="28"/>
          <w:rtl/>
          <w:lang w:val="en-US"/>
        </w:rPr>
        <w:t>،</w:t>
      </w:r>
      <w:r w:rsidRPr="000B6C4E">
        <w:rPr>
          <w:rFonts w:ascii="Traditional Arabic" w:eastAsia="Calibri" w:hAnsi="Traditional Arabic" w:hint="cs"/>
          <w:sz w:val="28"/>
          <w:szCs w:val="28"/>
          <w:rtl/>
          <w:lang w:val="en-US"/>
        </w:rPr>
        <w:t xml:space="preserve">ط1، (سلطنة عمان: </w:t>
      </w:r>
      <w:r w:rsidRPr="000B6C4E">
        <w:rPr>
          <w:rFonts w:ascii="Traditional Arabic" w:eastAsia="Calibri" w:hAnsi="Traditional Arabic"/>
          <w:sz w:val="28"/>
          <w:szCs w:val="28"/>
          <w:rtl/>
          <w:lang w:val="en-US"/>
        </w:rPr>
        <w:t>اللجنة الوطنية لحقوق الإنسان</w:t>
      </w:r>
      <w:r w:rsidRPr="000B6C4E">
        <w:rPr>
          <w:rFonts w:ascii="Traditional Arabic" w:eastAsia="Calibri" w:hAnsi="Traditional Arabic" w:hint="cs"/>
          <w:sz w:val="28"/>
          <w:szCs w:val="28"/>
          <w:rtl/>
          <w:lang w:val="en-US"/>
        </w:rPr>
        <w:t xml:space="preserve">،2012م)، </w:t>
      </w:r>
      <w:r w:rsidRPr="000B6C4E">
        <w:rPr>
          <w:rFonts w:ascii="Traditional Arabic" w:eastAsia="Calibri" w:hAnsi="Traditional Arabic"/>
          <w:sz w:val="28"/>
          <w:szCs w:val="28"/>
          <w:rtl/>
          <w:lang w:val="en-US"/>
        </w:rPr>
        <w:t>ص26</w:t>
      </w:r>
      <w:r w:rsidRPr="000B6C4E">
        <w:rPr>
          <w:rFonts w:ascii="Traditional Arabic" w:eastAsia="Calibri" w:hAnsi="Traditional Arabic" w:hint="cs"/>
          <w:sz w:val="28"/>
          <w:szCs w:val="28"/>
          <w:rtl/>
          <w:lang w:val="en-US"/>
        </w:rPr>
        <w:t>.</w:t>
      </w:r>
    </w:p>
    <w:p w:rsidR="000B6C4E" w:rsidRDefault="000B6C4E" w:rsidP="000B6C4E">
      <w:pPr>
        <w:pStyle w:val="ListParagraph"/>
        <w:numPr>
          <w:ilvl w:val="0"/>
          <w:numId w:val="2"/>
        </w:numPr>
        <w:spacing w:after="0" w:line="240" w:lineRule="auto"/>
        <w:rPr>
          <w:rFonts w:ascii="Traditional Arabic" w:eastAsia="Calibri" w:hAnsi="Traditional Arabic"/>
          <w:sz w:val="28"/>
          <w:szCs w:val="28"/>
          <w:lang w:val="en-US"/>
        </w:rPr>
      </w:pPr>
      <w:r w:rsidRPr="000B6C4E">
        <w:rPr>
          <w:rFonts w:ascii="Traditional Arabic" w:eastAsia="Calibri" w:hAnsi="Traditional Arabic"/>
          <w:color w:val="000000"/>
          <w:sz w:val="28"/>
          <w:szCs w:val="28"/>
          <w:rtl/>
          <w:lang w:val="en-US" w:bidi="ar-OM"/>
        </w:rPr>
        <w:t>ابن منظور</w:t>
      </w:r>
      <w:r w:rsidRPr="000B6C4E">
        <w:rPr>
          <w:rFonts w:ascii="Traditional Arabic" w:eastAsia="Calibri" w:hAnsi="Traditional Arabic" w:hint="cs"/>
          <w:sz w:val="28"/>
          <w:szCs w:val="28"/>
          <w:rtl/>
          <w:lang w:val="en-US" w:bidi="ar-OM"/>
        </w:rPr>
        <w:t xml:space="preserve">، </w:t>
      </w:r>
      <w:r w:rsidRPr="000B6C4E">
        <w:rPr>
          <w:rFonts w:ascii="Traditional Arabic" w:eastAsia="Calibri" w:hAnsi="Traditional Arabic"/>
          <w:color w:val="000000"/>
          <w:sz w:val="28"/>
          <w:szCs w:val="28"/>
          <w:rtl/>
          <w:lang w:val="en-US" w:bidi="ar-OM"/>
        </w:rPr>
        <w:t>محمد بن مكرم</w:t>
      </w:r>
      <w:r>
        <w:rPr>
          <w:rFonts w:ascii="Traditional Arabic" w:eastAsia="Calibri" w:hAnsi="Traditional Arabic" w:hint="cs"/>
          <w:color w:val="000000"/>
          <w:sz w:val="28"/>
          <w:szCs w:val="28"/>
          <w:rtl/>
          <w:lang w:val="en-US" w:bidi="ar-OM"/>
        </w:rPr>
        <w:t>.</w:t>
      </w:r>
      <w:r w:rsidRPr="000B6C4E">
        <w:rPr>
          <w:rFonts w:ascii="Traditional Arabic" w:eastAsia="Calibri" w:hAnsi="Traditional Arabic" w:hint="cs"/>
          <w:b/>
          <w:bCs/>
          <w:sz w:val="28"/>
          <w:szCs w:val="28"/>
          <w:rtl/>
          <w:lang w:val="en-US" w:bidi="ar-OM"/>
        </w:rPr>
        <w:t>لسان العرب</w:t>
      </w:r>
      <w:r w:rsidRPr="000B6C4E">
        <w:rPr>
          <w:rFonts w:ascii="Traditional Arabic" w:eastAsia="Calibri" w:hAnsi="Traditional Arabic" w:hint="cs"/>
          <w:sz w:val="28"/>
          <w:szCs w:val="28"/>
          <w:rtl/>
          <w:lang w:val="en-US" w:bidi="ar-OM"/>
        </w:rPr>
        <w:t>، ط3، (بيروت: دار صادر، 1993م) ج2، ص383.</w:t>
      </w:r>
    </w:p>
    <w:p w:rsidR="000B6C4E" w:rsidRPr="000B6C4E" w:rsidRDefault="000B6C4E" w:rsidP="000B6C4E">
      <w:pPr>
        <w:pStyle w:val="ListParagraph"/>
        <w:numPr>
          <w:ilvl w:val="0"/>
          <w:numId w:val="2"/>
        </w:numPr>
        <w:spacing w:after="0" w:line="240" w:lineRule="auto"/>
        <w:rPr>
          <w:rFonts w:ascii="Traditional Arabic" w:eastAsia="Calibri" w:hAnsi="Traditional Arabic"/>
          <w:sz w:val="28"/>
          <w:szCs w:val="28"/>
          <w:rtl/>
          <w:lang w:val="en-US"/>
        </w:rPr>
      </w:pPr>
      <w:r w:rsidRPr="000B6C4E">
        <w:rPr>
          <w:rFonts w:ascii="Traditional Arabic" w:eastAsia="Calibri" w:hAnsi="Traditional Arabic"/>
          <w:sz w:val="28"/>
          <w:szCs w:val="28"/>
          <w:rtl/>
          <w:lang w:val="en-US"/>
        </w:rPr>
        <w:t xml:space="preserve">انظر: عبدالرحمن، محمد، </w:t>
      </w:r>
      <w:r w:rsidRPr="008A1373">
        <w:rPr>
          <w:rFonts w:ascii="Traditional Arabic" w:eastAsia="Calibri" w:hAnsi="Traditional Arabic"/>
          <w:b/>
          <w:bCs/>
          <w:sz w:val="28"/>
          <w:szCs w:val="28"/>
          <w:rtl/>
          <w:lang w:val="en-US"/>
        </w:rPr>
        <w:t>الإعلامية أبعادها وأثرها في تلقي النص: دراسة نظرية تحليلية</w:t>
      </w:r>
      <w:r w:rsidRPr="000B6C4E">
        <w:rPr>
          <w:rFonts w:ascii="Traditional Arabic" w:eastAsia="Calibri" w:hAnsi="Traditional Arabic"/>
          <w:sz w:val="28"/>
          <w:szCs w:val="28"/>
          <w:rtl/>
          <w:lang w:val="en-US"/>
        </w:rPr>
        <w:t xml:space="preserve">، (رسالة مقدمة لنيل درجة الدكتوراه في اللغة العربية، الجامعة الإسلامية العالمية بماليزيا، 2007م)، ص33. </w:t>
      </w:r>
    </w:p>
    <w:p w:rsidR="000B6C4E" w:rsidRPr="000B6C4E" w:rsidRDefault="000B6C4E" w:rsidP="000B6C4E">
      <w:pPr>
        <w:pStyle w:val="ListParagraph"/>
        <w:numPr>
          <w:ilvl w:val="0"/>
          <w:numId w:val="2"/>
        </w:numPr>
        <w:spacing w:after="0" w:line="240" w:lineRule="auto"/>
        <w:rPr>
          <w:rFonts w:ascii="Traditional Arabic" w:eastAsia="Calibri" w:hAnsi="Traditional Arabic"/>
          <w:sz w:val="28"/>
          <w:szCs w:val="28"/>
          <w:rtl/>
          <w:lang w:val="en-US"/>
        </w:rPr>
      </w:pPr>
      <w:r w:rsidRPr="000B6C4E">
        <w:rPr>
          <w:rFonts w:ascii="Traditional Arabic" w:eastAsia="Calibri" w:hAnsi="Traditional Arabic"/>
          <w:sz w:val="28"/>
          <w:szCs w:val="28"/>
          <w:rtl/>
          <w:lang w:val="en-US"/>
        </w:rPr>
        <w:lastRenderedPageBreak/>
        <w:t xml:space="preserve">انظر: محيسن، محمد عبد الرضا، و مشكور كاظم العوّادي، "الإعلامية في الدرس البلاغي العربي: دراسة في ضوء علم النص"، </w:t>
      </w:r>
      <w:r w:rsidRPr="008A1373">
        <w:rPr>
          <w:rFonts w:ascii="Traditional Arabic" w:eastAsia="Calibri" w:hAnsi="Traditional Arabic"/>
          <w:b/>
          <w:bCs/>
          <w:sz w:val="28"/>
          <w:szCs w:val="28"/>
          <w:rtl/>
          <w:lang w:val="en-US"/>
        </w:rPr>
        <w:t>مجلة اللغة العربية وآدابها،</w:t>
      </w:r>
      <w:r w:rsidRPr="000B6C4E">
        <w:rPr>
          <w:rFonts w:ascii="Traditional Arabic" w:eastAsia="Calibri" w:hAnsi="Traditional Arabic"/>
          <w:sz w:val="28"/>
          <w:szCs w:val="28"/>
          <w:rtl/>
          <w:lang w:val="en-US"/>
        </w:rPr>
        <w:t xml:space="preserve"> ع(1)، 2013م، ص61.</w:t>
      </w:r>
    </w:p>
    <w:p w:rsidR="000B6C4E" w:rsidRDefault="000B6C4E" w:rsidP="000B6C4E">
      <w:pPr>
        <w:spacing w:after="0" w:line="240" w:lineRule="auto"/>
        <w:ind w:left="360"/>
        <w:rPr>
          <w:rFonts w:ascii="Traditional Arabic" w:eastAsia="Calibri" w:hAnsi="Traditional Arabic"/>
          <w:sz w:val="28"/>
          <w:szCs w:val="28"/>
          <w:lang w:val="en-US"/>
        </w:rPr>
      </w:pPr>
    </w:p>
    <w:p w:rsidR="00E5764C" w:rsidRPr="00E5764C" w:rsidRDefault="00E5764C" w:rsidP="00E5764C">
      <w:pPr>
        <w:spacing w:after="0" w:line="240" w:lineRule="auto"/>
        <w:ind w:left="360"/>
        <w:rPr>
          <w:rFonts w:ascii="Traditional Arabic" w:eastAsia="Calibri" w:hAnsi="Traditional Arabic"/>
          <w:b/>
          <w:bCs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b/>
          <w:bCs/>
          <w:sz w:val="36"/>
          <w:rtl/>
          <w:lang w:val="en-US"/>
        </w:rPr>
        <w:t>شروط النشر:</w:t>
      </w:r>
    </w:p>
    <w:p w:rsidR="00E5764C" w:rsidRDefault="00E5764C" w:rsidP="00E576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raditional Arabic" w:eastAsia="Calibri" w:hAnsi="Traditional Arabic"/>
          <w:sz w:val="36"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ألا يكون البحث أو ال</w:t>
      </w:r>
      <w:r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قال قد نشر من قبل في </w:t>
      </w:r>
      <w:r>
        <w:rPr>
          <w:rFonts w:ascii="Traditional Arabic" w:eastAsia="Calibri" w:hAnsi="Traditional Arabic" w:hint="cs"/>
          <w:sz w:val="36"/>
          <w:rtl/>
          <w:lang w:val="en-US"/>
        </w:rPr>
        <w:t>مجلة محكمة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.</w:t>
      </w:r>
    </w:p>
    <w:p w:rsidR="00E5764C" w:rsidRDefault="00E5764C" w:rsidP="00E576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raditional Arabic" w:eastAsia="Calibri" w:hAnsi="Traditional Arabic"/>
          <w:sz w:val="36"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ألا يزيد عدد الباحثين في ال</w:t>
      </w:r>
      <w:r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قال الواحد عن باحثين اثنين.</w:t>
      </w:r>
    </w:p>
    <w:p w:rsidR="00E5764C" w:rsidRDefault="00E5764C" w:rsidP="00E576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raditional Arabic" w:eastAsia="Calibri" w:hAnsi="Traditional Arabic"/>
          <w:sz w:val="36"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لا تزيد صفحات البحث عن خمس عشرة صفحة </w:t>
      </w:r>
      <w:r w:rsidRPr="00E5764C">
        <w:rPr>
          <w:rFonts w:ascii="Traditional Arabic" w:eastAsia="Calibri" w:hAnsi="Traditional Arabic" w:hint="cs"/>
          <w:sz w:val="36"/>
          <w:rtl/>
          <w:lang w:val="en-US"/>
        </w:rPr>
        <w:t>(15)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من نوع (</w:t>
      </w:r>
      <w:r w:rsidRPr="00E5764C">
        <w:rPr>
          <w:rFonts w:ascii="Traditional Arabic" w:eastAsia="Calibri" w:hAnsi="Traditional Arabic"/>
          <w:sz w:val="36"/>
          <w:lang w:val="en-US"/>
        </w:rPr>
        <w:t>A4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).</w:t>
      </w:r>
    </w:p>
    <w:p w:rsidR="00E5764C" w:rsidRPr="00E5764C" w:rsidRDefault="00E5764C" w:rsidP="00E576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raditional Arabic" w:eastAsia="Calibri" w:hAnsi="Traditional Arabic"/>
          <w:sz w:val="36"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يطبع نص ال</w:t>
      </w:r>
      <w:r w:rsidRPr="00E5764C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تن بخط </w:t>
      </w:r>
      <w:r w:rsidRPr="00E5764C">
        <w:rPr>
          <w:rFonts w:asciiTheme="majorBidi" w:eastAsia="Calibri" w:hAnsiTheme="majorBidi" w:cstheme="majorBidi"/>
          <w:szCs w:val="24"/>
          <w:lang w:val="en-US"/>
        </w:rPr>
        <w:t>ARABIC TRADITIONAL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، وحجم </w:t>
      </w:r>
      <w:r w:rsidRPr="00E5764C">
        <w:rPr>
          <w:rFonts w:ascii="Traditional Arabic" w:eastAsia="Calibri" w:hAnsi="Traditional Arabic" w:hint="cs"/>
          <w:sz w:val="36"/>
          <w:rtl/>
          <w:lang w:val="en-US"/>
        </w:rPr>
        <w:t>(16)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، ونمط </w:t>
      </w:r>
      <w:r w:rsidRPr="00E5764C">
        <w:rPr>
          <w:rFonts w:asciiTheme="majorBidi" w:eastAsia="Calibri" w:hAnsiTheme="majorBidi" w:cstheme="majorBidi"/>
          <w:szCs w:val="24"/>
          <w:lang w:val="en-US"/>
        </w:rPr>
        <w:t>NORMAL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، وبأسطر منفردة(</w:t>
      </w:r>
      <w:r w:rsidRPr="00E5764C">
        <w:rPr>
          <w:rFonts w:asciiTheme="majorBidi" w:eastAsia="Calibri" w:hAnsiTheme="majorBidi" w:cstheme="majorBidi"/>
          <w:szCs w:val="24"/>
          <w:lang w:val="en-US"/>
        </w:rPr>
        <w:t>SINGLE SPACE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) على برنامج . </w:t>
      </w:r>
      <w:r w:rsidRPr="00E5764C">
        <w:rPr>
          <w:rFonts w:asciiTheme="majorBidi" w:eastAsia="Calibri" w:hAnsiTheme="majorBidi" w:cstheme="majorBidi"/>
          <w:szCs w:val="24"/>
          <w:lang w:val="en-US"/>
        </w:rPr>
        <w:t>MICROSOFT WORD2007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أو .</w:t>
      </w:r>
      <w:r w:rsidRPr="00E5764C">
        <w:rPr>
          <w:rFonts w:asciiTheme="majorBidi" w:eastAsia="Calibri" w:hAnsiTheme="majorBidi" w:cstheme="majorBidi"/>
          <w:szCs w:val="24"/>
          <w:lang w:val="en-US"/>
        </w:rPr>
        <w:t>MICROSOFT WORD 2010</w:t>
      </w:r>
      <w:r w:rsidRPr="00E5764C">
        <w:rPr>
          <w:rFonts w:asciiTheme="majorBidi" w:eastAsia="Calibri" w:hAnsiTheme="majorBidi" w:cstheme="majorBidi" w:hint="cs"/>
          <w:szCs w:val="24"/>
          <w:rtl/>
          <w:lang w:val="en-US"/>
        </w:rPr>
        <w:t>.</w:t>
      </w:r>
    </w:p>
    <w:p w:rsidR="00E5764C" w:rsidRDefault="00E5764C" w:rsidP="00E576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raditional Arabic" w:eastAsia="Calibri" w:hAnsi="Traditional Arabic"/>
          <w:sz w:val="36"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تطبع ال</w:t>
      </w:r>
      <w:r>
        <w:rPr>
          <w:rFonts w:ascii="Traditional Arabic" w:eastAsia="Calibri" w:hAnsi="Traditional Arabic" w:hint="cs"/>
          <w:sz w:val="36"/>
          <w:rtl/>
          <w:lang w:val="en-US"/>
        </w:rPr>
        <w:t>ه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وامش في نهاية البحث مسلسلة بخط </w:t>
      </w:r>
      <w:r w:rsidRPr="00E5764C">
        <w:rPr>
          <w:rFonts w:asciiTheme="majorBidi" w:eastAsia="Calibri" w:hAnsiTheme="majorBidi" w:cstheme="majorBidi"/>
          <w:szCs w:val="24"/>
          <w:lang w:val="en-US"/>
        </w:rPr>
        <w:t>ARABIC TRADITIONAL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، وبحجم </w:t>
      </w:r>
      <w:r>
        <w:rPr>
          <w:rFonts w:ascii="Traditional Arabic" w:eastAsia="Calibri" w:hAnsi="Traditional Arabic" w:hint="cs"/>
          <w:sz w:val="36"/>
          <w:rtl/>
          <w:lang w:val="en-US"/>
        </w:rPr>
        <w:t>(12)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0</w:t>
      </w:r>
    </w:p>
    <w:p w:rsidR="00E5764C" w:rsidRDefault="00E5764C" w:rsidP="00E576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raditional Arabic" w:eastAsia="Calibri" w:hAnsi="Traditional Arabic"/>
          <w:sz w:val="36"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تطبع الكلمات ال</w:t>
      </w:r>
      <w:r w:rsidRPr="00E5764C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كتوبة بالحرف اللاتيني بخط </w:t>
      </w:r>
      <w:r w:rsidRPr="00E5764C">
        <w:rPr>
          <w:rFonts w:asciiTheme="majorBidi" w:eastAsia="Calibri" w:hAnsiTheme="majorBidi" w:cstheme="majorBidi"/>
          <w:szCs w:val="24"/>
          <w:lang w:val="en-US"/>
        </w:rPr>
        <w:t>TIMES NEW ROMAN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وبحجم </w:t>
      </w:r>
      <w:r w:rsidRPr="00E5764C">
        <w:rPr>
          <w:rFonts w:ascii="Traditional Arabic" w:eastAsia="Calibri" w:hAnsi="Traditional Arabic" w:hint="cs"/>
          <w:sz w:val="36"/>
          <w:rtl/>
          <w:lang w:val="en-US"/>
        </w:rPr>
        <w:t>(12)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، وفي ال</w:t>
      </w:r>
      <w:r w:rsidRPr="00E5764C">
        <w:rPr>
          <w:rFonts w:ascii="Traditional Arabic" w:eastAsia="Calibri" w:hAnsi="Traditional Arabic" w:hint="cs"/>
          <w:sz w:val="36"/>
          <w:rtl/>
          <w:lang w:val="en-US"/>
        </w:rPr>
        <w:t>ه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وامشبحجم </w:t>
      </w:r>
      <w:r>
        <w:rPr>
          <w:rFonts w:ascii="Traditional Arabic" w:eastAsia="Calibri" w:hAnsi="Traditional Arabic" w:hint="cs"/>
          <w:sz w:val="36"/>
          <w:rtl/>
          <w:lang w:val="en-US"/>
        </w:rPr>
        <w:t>(10).</w:t>
      </w:r>
    </w:p>
    <w:p w:rsidR="00E5764C" w:rsidRPr="00E5764C" w:rsidRDefault="00E5764C" w:rsidP="00E576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ترتب ال</w:t>
      </w:r>
      <w:r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علومات البيبلوغرافية :</w:t>
      </w:r>
    </w:p>
    <w:p w:rsidR="00E5764C" w:rsidRPr="00E5764C" w:rsidRDefault="00E5764C" w:rsidP="00E5764C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- إذا كان ال</w:t>
      </w:r>
      <w:r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رجع كتابا فعلى النحو الآتي: الشهرستاني، أبو الفتح تاج الدين عبد الكريم بن أبي بكر أحمد، محمد عبد الكريم، </w:t>
      </w:r>
      <w:r w:rsidRPr="00E5764C">
        <w:rPr>
          <w:rFonts w:ascii="Traditional Arabic" w:eastAsia="Calibri" w:hAnsi="Traditional Arabic"/>
          <w:b/>
          <w:bCs/>
          <w:sz w:val="36"/>
          <w:rtl/>
          <w:lang w:val="en-US"/>
        </w:rPr>
        <w:t>الملل والنحل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، ط 7، تحقيق أمير علي مهنا وعلي حسن فاعور، </w:t>
      </w:r>
      <w:r>
        <w:rPr>
          <w:rFonts w:ascii="Traditional Arabic" w:eastAsia="Calibri" w:hAnsi="Traditional Arabic" w:hint="cs"/>
          <w:sz w:val="36"/>
          <w:rtl/>
          <w:lang w:val="en-US"/>
        </w:rPr>
        <w:t>(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بيروت: دار الدعرفة، </w:t>
      </w:r>
      <w:r>
        <w:rPr>
          <w:rFonts w:ascii="Traditional Arabic" w:eastAsia="Calibri" w:hAnsi="Traditional Arabic" w:hint="cs"/>
          <w:sz w:val="36"/>
          <w:rtl/>
          <w:lang w:val="en-US"/>
        </w:rPr>
        <w:t>1998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م</w:t>
      </w:r>
      <w:r>
        <w:rPr>
          <w:rFonts w:ascii="Traditional Arabic" w:eastAsia="Calibri" w:hAnsi="Traditional Arabic" w:hint="cs"/>
          <w:sz w:val="36"/>
          <w:rtl/>
          <w:lang w:val="en-US"/>
        </w:rPr>
        <w:t>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، ج</w:t>
      </w:r>
      <w:r>
        <w:rPr>
          <w:rFonts w:ascii="Traditional Arabic" w:eastAsia="Calibri" w:hAnsi="Traditional Arabic" w:hint="cs"/>
          <w:sz w:val="36"/>
          <w:rtl/>
          <w:lang w:val="en-US"/>
        </w:rPr>
        <w:t xml:space="preserve">1، 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ص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3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. وإذا ذكر الكتاب مرة أخرى يوثق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مخ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تصرا: الشهرستاني، محمد عبد الكريم، </w:t>
      </w:r>
      <w:r w:rsidRPr="00386C90">
        <w:rPr>
          <w:rFonts w:ascii="Traditional Arabic" w:eastAsia="Calibri" w:hAnsi="Traditional Arabic"/>
          <w:b/>
          <w:bCs/>
          <w:sz w:val="36"/>
          <w:rtl/>
          <w:lang w:val="en-US"/>
        </w:rPr>
        <w:t>الملل والنحل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، ج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1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، ص 7 .</w:t>
      </w:r>
    </w:p>
    <w:p w:rsidR="00E5764C" w:rsidRPr="00E5764C" w:rsidRDefault="00E5764C" w:rsidP="00386C90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- إذا كان 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رجع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مجلة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أو دورية فعلى النحو الآتي: علي، عاصم شحادة، "ال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عاني الوظيفية للكلمة في الت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ر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كيب: دراسةفي الدلالة"، </w:t>
      </w:r>
      <w:r w:rsidRPr="00386C90">
        <w:rPr>
          <w:rFonts w:ascii="Traditional Arabic" w:eastAsia="Calibri" w:hAnsi="Traditional Arabic"/>
          <w:b/>
          <w:bCs/>
          <w:sz w:val="36"/>
          <w:rtl/>
          <w:lang w:val="en-US"/>
        </w:rPr>
        <w:t>مجلة دراسات،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كلية البحث العلمي، الجامعة الاردنية، المجلد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(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35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، العدد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(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3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، تشرين الأول،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 xml:space="preserve"> 200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8م، ص547. وإذا ذكرت المجلة مرة أخرى توثق هكذا: علي، عاصم شحادة، "ال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عاني الوظيفية للكلمة فيالت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ر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كيب: دراسة في الدلالة"، مقال سابق، ص34.</w:t>
      </w:r>
    </w:p>
    <w:p w:rsidR="00E5764C" w:rsidRPr="00E5764C" w:rsidRDefault="00E5764C" w:rsidP="00386C90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lastRenderedPageBreak/>
        <w:t>- إذا كان 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رجع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مخ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طوطا فعلى النحو الآتي: العسقلاني، ابن حجر، ذيل الدرر الكامنة،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مخ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طوط رقم 649 ، 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كتبةالتيمورية، ورقة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(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54)وجه.</w:t>
      </w:r>
    </w:p>
    <w:p w:rsidR="00E5764C" w:rsidRPr="00E5764C" w:rsidRDefault="00E5764C" w:rsidP="00386C90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- إذا كان 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رجع من وقائع 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ؤت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م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رات والكتب التكريمية فعلى النحو الآتي: الحياري، مصطفى، "توطين القبائل العربيةفي بلاد قنسرين حتى نهاية القرن الرابع"، في محراب المعرفة: دراسات مهداة إلى إحسان عباس، تحرير: إبراهيمالسعافين، ط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1،(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بيروت: دار صادر، ودار الغرب،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1997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م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، ص 407 .</w:t>
      </w:r>
    </w:p>
    <w:p w:rsidR="00E5764C" w:rsidRPr="00E5764C" w:rsidRDefault="00E5764C" w:rsidP="00386C90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- إذا كان موقعا إلكت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ر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ونيا فعلى النحو الآتي: النعيمي، ناصر إبراهيم صالح، المصطلح اللغوي العربي بين الواقعوالطموح، موقع إلكت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ر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وني: </w:t>
      </w:r>
      <w:r w:rsidRPr="00386C90">
        <w:rPr>
          <w:rFonts w:asciiTheme="majorBidi" w:eastAsia="Calibri" w:hAnsiTheme="majorBidi" w:cstheme="majorBidi"/>
          <w:szCs w:val="24"/>
          <w:lang w:val="en-US"/>
        </w:rPr>
        <w:t>http://www.ulu.nl/d12-html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، ص 5. وإذا ذكر مرة أخرى يوثق هكذا:النعيمي، ناصر إبراهيم صالح، المصطلح اللغوي العربي بين الواقع والطموح، موقع إلكت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ر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وني، ص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5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.</w:t>
      </w:r>
    </w:p>
    <w:p w:rsidR="00E5764C" w:rsidRPr="00E5764C" w:rsidRDefault="00386C90" w:rsidP="00E5764C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>
        <w:rPr>
          <w:rFonts w:ascii="Traditional Arabic" w:eastAsia="Calibri" w:hAnsi="Traditional Arabic" w:hint="cs"/>
          <w:sz w:val="36"/>
          <w:rtl/>
          <w:lang w:val="en-US"/>
        </w:rPr>
        <w:t xml:space="preserve">8. </w:t>
      </w:r>
      <w:r w:rsidR="00E5764C" w:rsidRPr="00E5764C">
        <w:rPr>
          <w:rFonts w:ascii="Traditional Arabic" w:eastAsia="Calibri" w:hAnsi="Traditional Arabic"/>
          <w:sz w:val="36"/>
          <w:rtl/>
          <w:lang w:val="en-US"/>
        </w:rPr>
        <w:t>لا توضع أرقام التهميش بين قوسين، سواء أكان في النص أم في ال</w:t>
      </w:r>
      <w:r>
        <w:rPr>
          <w:rFonts w:ascii="Traditional Arabic" w:eastAsia="Calibri" w:hAnsi="Traditional Arabic" w:hint="cs"/>
          <w:sz w:val="36"/>
          <w:rtl/>
          <w:lang w:val="en-US"/>
        </w:rPr>
        <w:t>ه</w:t>
      </w:r>
      <w:r w:rsidR="00E5764C" w:rsidRPr="00E5764C">
        <w:rPr>
          <w:rFonts w:ascii="Traditional Arabic" w:eastAsia="Calibri" w:hAnsi="Traditional Arabic"/>
          <w:sz w:val="36"/>
          <w:rtl/>
          <w:lang w:val="en-US"/>
        </w:rPr>
        <w:t>امش .</w:t>
      </w:r>
    </w:p>
    <w:p w:rsidR="00E5764C" w:rsidRPr="00E5764C" w:rsidRDefault="00E5764C" w:rsidP="00386C90">
      <w:pPr>
        <w:spacing w:after="0" w:line="240" w:lineRule="auto"/>
        <w:ind w:firstLine="447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9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 xml:space="preserve">. 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عند التنصيص لا يوضع كلمة 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(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انظر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)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 xml:space="preserve"> في ال</w:t>
      </w:r>
      <w:r w:rsidR="00386C90">
        <w:rPr>
          <w:rFonts w:ascii="Traditional Arabic" w:eastAsia="Calibri" w:hAnsi="Traditional Arabic" w:hint="cs"/>
          <w:sz w:val="36"/>
          <w:rtl/>
          <w:lang w:val="en-US"/>
        </w:rPr>
        <w:t>ه</w:t>
      </w:r>
      <w:r w:rsidRPr="00E5764C">
        <w:rPr>
          <w:rFonts w:ascii="Traditional Arabic" w:eastAsia="Calibri" w:hAnsi="Traditional Arabic"/>
          <w:sz w:val="36"/>
          <w:rtl/>
          <w:lang w:val="en-US"/>
        </w:rPr>
        <w:t>امش، أما إذا كان النقل بدون تنصيص فيوضع كلمة انظر هكذا:</w:t>
      </w:r>
    </w:p>
    <w:p w:rsidR="00E5764C" w:rsidRPr="00E5764C" w:rsidRDefault="00E5764C" w:rsidP="00E5764C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 w:rsidRPr="00E5764C">
        <w:rPr>
          <w:rFonts w:ascii="Traditional Arabic" w:eastAsia="Calibri" w:hAnsi="Traditional Arabic"/>
          <w:sz w:val="36"/>
          <w:rtl/>
          <w:lang w:val="en-US"/>
        </w:rPr>
        <w:t>انظر: ..........</w:t>
      </w:r>
    </w:p>
    <w:p w:rsidR="00E5764C" w:rsidRPr="00E5764C" w:rsidRDefault="00386C90" w:rsidP="00E5764C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>
        <w:rPr>
          <w:rFonts w:ascii="Traditional Arabic" w:eastAsia="Calibri" w:hAnsi="Traditional Arabic" w:hint="cs"/>
          <w:sz w:val="36"/>
          <w:rtl/>
          <w:lang w:val="en-US"/>
        </w:rPr>
        <w:t>10.</w:t>
      </w:r>
      <w:r w:rsidR="00E5764C" w:rsidRPr="00E5764C">
        <w:rPr>
          <w:rFonts w:ascii="Traditional Arabic" w:eastAsia="Calibri" w:hAnsi="Traditional Arabic"/>
          <w:sz w:val="36"/>
          <w:rtl/>
          <w:lang w:val="en-US"/>
        </w:rPr>
        <w:t xml:space="preserve"> توثق الآية القرآنية في ال</w:t>
      </w:r>
      <w:r>
        <w:rPr>
          <w:rFonts w:ascii="Traditional Arabic" w:eastAsia="Calibri" w:hAnsi="Traditional Arabic" w:hint="cs"/>
          <w:sz w:val="36"/>
          <w:rtl/>
          <w:lang w:val="en-US"/>
        </w:rPr>
        <w:t>ه</w:t>
      </w:r>
      <w:r w:rsidR="00E5764C" w:rsidRPr="00E5764C">
        <w:rPr>
          <w:rFonts w:ascii="Traditional Arabic" w:eastAsia="Calibri" w:hAnsi="Traditional Arabic"/>
          <w:sz w:val="36"/>
          <w:rtl/>
          <w:lang w:val="en-US"/>
        </w:rPr>
        <w:t>امش هكذا: سورة الرحمن، الآية 3 .</w:t>
      </w:r>
    </w:p>
    <w:p w:rsidR="00E5764C" w:rsidRPr="00E5764C" w:rsidRDefault="00386C90" w:rsidP="00E5764C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>
        <w:rPr>
          <w:rFonts w:ascii="Traditional Arabic" w:eastAsia="Calibri" w:hAnsi="Traditional Arabic" w:hint="cs"/>
          <w:sz w:val="36"/>
          <w:rtl/>
          <w:lang w:val="en-US"/>
        </w:rPr>
        <w:t xml:space="preserve">11. </w:t>
      </w:r>
      <w:r w:rsidR="00E5764C" w:rsidRPr="00E5764C">
        <w:rPr>
          <w:rFonts w:ascii="Traditional Arabic" w:eastAsia="Calibri" w:hAnsi="Traditional Arabic"/>
          <w:sz w:val="36"/>
          <w:rtl/>
          <w:lang w:val="en-US"/>
        </w:rPr>
        <w:t>توضع الآية القرآنية بين قوسين مزهرين أو بين القوسين {...}</w:t>
      </w:r>
    </w:p>
    <w:p w:rsidR="00E5764C" w:rsidRPr="00E5764C" w:rsidRDefault="00386C90" w:rsidP="00E5764C">
      <w:pPr>
        <w:spacing w:after="0" w:line="240" w:lineRule="auto"/>
        <w:ind w:left="360"/>
        <w:rPr>
          <w:rFonts w:ascii="Traditional Arabic" w:eastAsia="Calibri" w:hAnsi="Traditional Arabic"/>
          <w:sz w:val="36"/>
          <w:rtl/>
          <w:lang w:val="en-US"/>
        </w:rPr>
      </w:pPr>
      <w:r>
        <w:rPr>
          <w:rFonts w:ascii="Traditional Arabic" w:eastAsia="Calibri" w:hAnsi="Traditional Arabic" w:hint="cs"/>
          <w:sz w:val="36"/>
          <w:rtl/>
          <w:lang w:val="en-US"/>
        </w:rPr>
        <w:t xml:space="preserve">12. </w:t>
      </w:r>
      <w:r w:rsidR="00E5764C" w:rsidRPr="00E5764C">
        <w:rPr>
          <w:rFonts w:ascii="Traditional Arabic" w:eastAsia="Calibri" w:hAnsi="Traditional Arabic"/>
          <w:sz w:val="36"/>
          <w:rtl/>
          <w:lang w:val="en-US"/>
        </w:rPr>
        <w:t>توثق الأقوال بوضعها بين قوسين هلاليين، هكذا: (..........)</w:t>
      </w:r>
    </w:p>
    <w:p w:rsidR="00E5764C" w:rsidRDefault="00386C90" w:rsidP="00386C90">
      <w:pPr>
        <w:spacing w:after="0" w:line="240" w:lineRule="auto"/>
        <w:ind w:left="360"/>
        <w:rPr>
          <w:rFonts w:ascii="Traditional Arabic" w:eastAsia="Calibri" w:hAnsi="Traditional Arabic"/>
          <w:sz w:val="36"/>
          <w:lang w:val="en-US"/>
        </w:rPr>
      </w:pPr>
      <w:r>
        <w:rPr>
          <w:rFonts w:ascii="Traditional Arabic" w:eastAsia="Calibri" w:hAnsi="Traditional Arabic" w:hint="cs"/>
          <w:sz w:val="36"/>
          <w:rtl/>
          <w:lang w:val="en-US"/>
        </w:rPr>
        <w:t xml:space="preserve">13. </w:t>
      </w:r>
      <w:r w:rsidR="00E5764C" w:rsidRPr="00E5764C">
        <w:rPr>
          <w:rFonts w:ascii="Traditional Arabic" w:eastAsia="Calibri" w:hAnsi="Traditional Arabic"/>
          <w:sz w:val="36"/>
          <w:rtl/>
          <w:lang w:val="en-US"/>
        </w:rPr>
        <w:t>يوثق حديث الرسول صلى الله عليه وسلم بوضعه بين علامة تنصيص هكذا: قال رسول الله صلى الله عليهوسلم: "رفع عن أمتي.....".</w:t>
      </w:r>
    </w:p>
    <w:p w:rsidR="00C12FA3" w:rsidRDefault="00C12FA3" w:rsidP="00386C90">
      <w:pPr>
        <w:spacing w:after="0" w:line="240" w:lineRule="auto"/>
        <w:ind w:left="360"/>
        <w:rPr>
          <w:rFonts w:ascii="Traditional Arabic" w:eastAsia="Calibri" w:hAnsi="Traditional Arabic" w:hint="cs"/>
          <w:sz w:val="36"/>
          <w:lang w:val="en-US"/>
        </w:rPr>
      </w:pPr>
    </w:p>
    <w:p w:rsidR="00C12FA3" w:rsidRDefault="00C12FA3" w:rsidP="00C12FA3">
      <w:pPr>
        <w:spacing w:after="0" w:line="240" w:lineRule="auto"/>
        <w:ind w:left="360"/>
        <w:jc w:val="left"/>
        <w:rPr>
          <w:rFonts w:ascii="Traditional Arabic" w:eastAsia="Calibri" w:hAnsi="Traditional Arabic" w:hint="cs"/>
          <w:sz w:val="36"/>
          <w:rtl/>
          <w:lang w:val="en-US"/>
        </w:rPr>
      </w:pPr>
      <w:r w:rsidRPr="00C12FA3">
        <w:rPr>
          <w:rFonts w:ascii="Traditional Arabic" w:eastAsia="Calibri" w:hAnsi="Traditional Arabic" w:hint="cs"/>
          <w:b/>
          <w:bCs/>
          <w:sz w:val="36"/>
          <w:lang w:val="en-US"/>
        </w:rPr>
        <w:t>ملحوظة</w:t>
      </w:r>
      <w:r w:rsidRPr="00C12FA3">
        <w:rPr>
          <w:rFonts w:ascii="Traditional Arabic" w:eastAsia="Calibri" w:hAnsi="Traditional Arabic" w:hint="cs"/>
          <w:b/>
          <w:bCs/>
          <w:sz w:val="36"/>
          <w:rtl/>
          <w:lang w:val="en-US"/>
        </w:rPr>
        <w:t>:</w:t>
      </w:r>
    </w:p>
    <w:p w:rsidR="00C12FA3" w:rsidRPr="00C12FA3" w:rsidRDefault="00C12FA3" w:rsidP="00C12FA3">
      <w:pPr>
        <w:spacing w:after="0" w:line="240" w:lineRule="auto"/>
        <w:ind w:left="360"/>
        <w:jc w:val="left"/>
        <w:rPr>
          <w:rFonts w:ascii="Traditional Arabic" w:eastAsia="Calibri" w:hAnsi="Traditional Arabic" w:hint="cs"/>
          <w:b/>
          <w:bCs/>
          <w:sz w:val="36"/>
          <w:rtl/>
          <w:lang w:val="en-US"/>
        </w:rPr>
      </w:pPr>
      <w:r w:rsidRPr="00C12FA3">
        <w:rPr>
          <w:rFonts w:ascii="Traditional Arabic" w:eastAsia="Calibri" w:hAnsi="Traditional Arabic" w:hint="cs"/>
          <w:b/>
          <w:bCs/>
          <w:sz w:val="36"/>
          <w:rtl/>
          <w:lang w:val="en-US"/>
        </w:rPr>
        <w:t>هذه هي شروط النشر في مجلة المؤتمر، وكذلك يُؤخذ بكل هذه الشروط في كتاب المؤتمر ما عدا الشرط رقم (2) حيث يسمح بتعددية الباحثين على حسب قوائم المؤتمر.</w:t>
      </w:r>
    </w:p>
    <w:sectPr w:rsidR="00C12FA3" w:rsidRPr="00C12FA3" w:rsidSect="003657A1">
      <w:pgSz w:w="12240" w:h="15840"/>
      <w:pgMar w:top="1412" w:right="2160" w:bottom="1701" w:left="141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D8" w:rsidRDefault="00DA56D8" w:rsidP="000B6C4E">
      <w:pPr>
        <w:spacing w:after="0" w:line="240" w:lineRule="auto"/>
      </w:pPr>
      <w:r>
        <w:separator/>
      </w:r>
    </w:p>
  </w:endnote>
  <w:endnote w:type="continuationSeparator" w:id="1">
    <w:p w:rsidR="00DA56D8" w:rsidRDefault="00DA56D8" w:rsidP="000B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D8" w:rsidRDefault="00DA56D8" w:rsidP="000B6C4E">
      <w:pPr>
        <w:spacing w:after="0" w:line="240" w:lineRule="auto"/>
      </w:pPr>
      <w:r>
        <w:separator/>
      </w:r>
    </w:p>
  </w:footnote>
  <w:footnote w:type="continuationSeparator" w:id="1">
    <w:p w:rsidR="00DA56D8" w:rsidRDefault="00DA56D8" w:rsidP="000B6C4E">
      <w:pPr>
        <w:spacing w:after="0" w:line="240" w:lineRule="auto"/>
      </w:pPr>
      <w:r>
        <w:continuationSeparator/>
      </w:r>
    </w:p>
  </w:footnote>
  <w:footnote w:id="2">
    <w:p w:rsidR="000B6C4E" w:rsidRDefault="000B6C4E">
      <w:pPr>
        <w:pStyle w:val="FootnoteText"/>
      </w:pPr>
      <w:r w:rsidRPr="000B6C4E">
        <w:rPr>
          <w:rStyle w:val="FootnoteReference"/>
          <w:rtl/>
        </w:rPr>
        <w:sym w:font="Symbol" w:char="F02A"/>
      </w:r>
      <w:r>
        <w:rPr>
          <w:rFonts w:hint="cs"/>
          <w:rtl/>
        </w:rPr>
        <w:t>معلومات عن الباجث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C17"/>
    <w:multiLevelType w:val="hybridMultilevel"/>
    <w:tmpl w:val="AD2292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5FD"/>
    <w:multiLevelType w:val="hybridMultilevel"/>
    <w:tmpl w:val="F6B63BB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3E5"/>
    <w:multiLevelType w:val="hybridMultilevel"/>
    <w:tmpl w:val="8BFEFC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2D6"/>
    <w:rsid w:val="000371A7"/>
    <w:rsid w:val="000750C1"/>
    <w:rsid w:val="000B366E"/>
    <w:rsid w:val="000B6C4E"/>
    <w:rsid w:val="00200572"/>
    <w:rsid w:val="003657A1"/>
    <w:rsid w:val="00386C90"/>
    <w:rsid w:val="008A1373"/>
    <w:rsid w:val="00964A17"/>
    <w:rsid w:val="00C12FA3"/>
    <w:rsid w:val="00C342D6"/>
    <w:rsid w:val="00CF0A50"/>
    <w:rsid w:val="00DA56D8"/>
    <w:rsid w:val="00E5764C"/>
    <w:rsid w:val="00E6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MY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6C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C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C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87C4-77A5-4B13-8B50-0667ED4E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ALDERSHAWI AHMAD</dc:creator>
  <cp:keywords/>
  <dc:description/>
  <cp:lastModifiedBy>Owner</cp:lastModifiedBy>
  <cp:revision>3</cp:revision>
  <dcterms:created xsi:type="dcterms:W3CDTF">2020-09-27T00:37:00Z</dcterms:created>
  <dcterms:modified xsi:type="dcterms:W3CDTF">2020-09-28T01:22:00Z</dcterms:modified>
</cp:coreProperties>
</file>